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360" w:line="240" w:lineRule="atLeast"/>
        <w:jc w:val="center"/>
        <w:outlineLvl w:val="0"/>
        <w:rPr>
          <w:rFonts w:ascii="Times New Roman" w:hAnsi="Times New Roman" w:cs="Times New Roman"/>
          <w:kern w:val="44"/>
          <w:sz w:val="30"/>
          <w:szCs w:val="30"/>
        </w:rPr>
      </w:pPr>
      <w:bookmarkStart w:id="0" w:name="_Toc9294"/>
      <w:bookmarkStart w:id="1" w:name="_Toc9321"/>
      <w:r>
        <w:rPr>
          <w:rFonts w:hint="default" w:ascii="Times New Roman" w:hAnsi="Times New Roman" w:cs="Times New Roman"/>
          <w:b/>
          <w:kern w:val="44"/>
          <w:sz w:val="32"/>
          <w:szCs w:val="32"/>
        </w:rPr>
        <w:t>第四章  采购项目技术和商务要求（采购需求）</w:t>
      </w:r>
      <w:bookmarkEnd w:id="0"/>
      <w:bookmarkEnd w:id="1"/>
    </w:p>
    <w:p>
      <w:pPr>
        <w:autoSpaceDE w:val="0"/>
        <w:autoSpaceDN w:val="0"/>
        <w:adjustRightInd w:val="0"/>
        <w:spacing w:line="360" w:lineRule="auto"/>
        <w:ind w:firstLine="482" w:firstLineChars="200"/>
        <w:rPr>
          <w:rFonts w:hint="default" w:ascii="Times New Roman" w:hAnsi="Times New Roman" w:cs="Times New Roman"/>
          <w:b/>
          <w:kern w:val="0"/>
          <w:sz w:val="32"/>
          <w:szCs w:val="32"/>
        </w:rPr>
      </w:pPr>
      <w:r>
        <w:rPr>
          <w:rFonts w:hint="default" w:ascii="Times New Roman" w:hAnsi="Times New Roman" w:cs="Times New Roman"/>
          <w:b/>
          <w:bCs/>
          <w:kern w:val="2"/>
          <w:sz w:val="24"/>
          <w:szCs w:val="24"/>
          <w:lang w:val="en-US" w:eastAsia="zh-CN"/>
        </w:rPr>
        <w:t>一、</w:t>
      </w:r>
      <w:r>
        <w:rPr>
          <w:rFonts w:hint="default" w:ascii="Times New Roman" w:hAnsi="Times New Roman" w:cs="Times New Roman"/>
          <w:b/>
          <w:bCs/>
          <w:kern w:val="2"/>
          <w:sz w:val="24"/>
          <w:szCs w:val="24"/>
        </w:rPr>
        <w:t>服务内容</w:t>
      </w:r>
    </w:p>
    <w:p>
      <w:pPr>
        <w:spacing w:line="52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由</w:t>
      </w:r>
      <w:r>
        <w:rPr>
          <w:rFonts w:hint="default" w:ascii="Times New Roman" w:hAnsi="Times New Roman" w:cs="Times New Roman"/>
          <w:color w:val="000000" w:themeColor="text1"/>
          <w:sz w:val="24"/>
          <w:lang w:val="en-US" w:eastAsia="zh-CN"/>
          <w14:textFill>
            <w14:solidFill>
              <w14:schemeClr w14:val="tx1"/>
            </w14:solidFill>
          </w14:textFill>
        </w:rPr>
        <w:t>选聘人</w:t>
      </w:r>
      <w:r>
        <w:rPr>
          <w:rFonts w:hint="default" w:ascii="Times New Roman" w:hAnsi="Times New Roman" w:cs="Times New Roman"/>
          <w:color w:val="000000" w:themeColor="text1"/>
          <w:sz w:val="24"/>
          <w14:textFill>
            <w14:solidFill>
              <w14:schemeClr w14:val="tx1"/>
            </w14:solidFill>
          </w14:textFill>
        </w:rPr>
        <w:t>委托</w:t>
      </w:r>
      <w:r>
        <w:rPr>
          <w:rFonts w:hint="default" w:ascii="Times New Roman" w:hAnsi="Times New Roman" w:cs="Times New Roman"/>
          <w:color w:val="000000" w:themeColor="text1"/>
          <w:sz w:val="24"/>
          <w:lang w:val="en-US" w:eastAsia="zh-CN"/>
          <w14:textFill>
            <w14:solidFill>
              <w14:schemeClr w14:val="tx1"/>
            </w14:solidFill>
          </w14:textFill>
        </w:rPr>
        <w:t>中介机构</w:t>
      </w:r>
      <w:r>
        <w:rPr>
          <w:rFonts w:hint="default" w:ascii="Times New Roman" w:hAnsi="Times New Roman" w:cs="Times New Roman"/>
          <w:color w:val="000000" w:themeColor="text1"/>
          <w:sz w:val="24"/>
          <w14:textFill>
            <w14:solidFill>
              <w14:schemeClr w14:val="tx1"/>
            </w14:solidFill>
          </w14:textFill>
        </w:rPr>
        <w:t>对</w:t>
      </w:r>
      <w:r>
        <w:rPr>
          <w:rFonts w:hint="default" w:ascii="Times New Roman" w:hAnsi="Times New Roman" w:cs="Times New Roman"/>
          <w:color w:val="000000" w:themeColor="text1"/>
          <w:sz w:val="24"/>
          <w:u w:val="single"/>
          <w14:textFill>
            <w14:solidFill>
              <w14:schemeClr w14:val="tx1"/>
            </w14:solidFill>
          </w14:textFill>
        </w:rPr>
        <w:t xml:space="preserve"> 20</w:t>
      </w:r>
      <w:r>
        <w:rPr>
          <w:rFonts w:hint="default" w:ascii="Times New Roman" w:hAnsi="Times New Roman" w:cs="Times New Roman"/>
          <w:color w:val="000000" w:themeColor="text1"/>
          <w:sz w:val="24"/>
          <w:u w:val="single"/>
          <w:lang w:val="en-US" w:eastAsia="zh-CN"/>
          <w14:textFill>
            <w14:solidFill>
              <w14:schemeClr w14:val="tx1"/>
            </w14:solidFill>
          </w14:textFill>
        </w:rPr>
        <w:t>20</w:t>
      </w:r>
      <w:r>
        <w:rPr>
          <w:rFonts w:hint="default" w:ascii="Times New Roman" w:hAnsi="Times New Roman" w:cs="Times New Roman"/>
          <w:color w:val="000000" w:themeColor="text1"/>
          <w:sz w:val="24"/>
          <w:u w:val="single"/>
          <w14:textFill>
            <w14:solidFill>
              <w14:schemeClr w14:val="tx1"/>
            </w14:solidFill>
          </w14:textFill>
        </w:rPr>
        <w:t>年度</w:t>
      </w:r>
      <w:r>
        <w:rPr>
          <w:rFonts w:hint="default" w:ascii="Times New Roman" w:hAnsi="Times New Roman" w:cs="Times New Roman"/>
          <w:color w:val="000000" w:themeColor="text1"/>
          <w:sz w:val="24"/>
          <w:u w:val="single"/>
          <w:lang w:val="en-US" w:eastAsia="zh-CN"/>
          <w14:textFill>
            <w14:solidFill>
              <w14:schemeClr w14:val="tx1"/>
            </w14:solidFill>
          </w14:textFill>
        </w:rPr>
        <w:t>直属</w:t>
      </w:r>
      <w:r>
        <w:rPr>
          <w:rFonts w:hint="default" w:ascii="Times New Roman" w:hAnsi="Times New Roman" w:cs="Times New Roman"/>
          <w:color w:val="000000" w:themeColor="text1"/>
          <w:sz w:val="24"/>
          <w:u w:val="single"/>
          <w14:textFill>
            <w14:solidFill>
              <w14:schemeClr w14:val="tx1"/>
            </w14:solidFill>
          </w14:textFill>
        </w:rPr>
        <w:t>企业财务决算、</w:t>
      </w:r>
      <w:r>
        <w:rPr>
          <w:rFonts w:hint="default" w:ascii="Times New Roman" w:hAnsi="Times New Roman" w:cs="Times New Roman"/>
          <w:b w:val="0"/>
          <w:bCs w:val="0"/>
          <w:color w:val="000000" w:themeColor="text1"/>
          <w:sz w:val="24"/>
          <w:szCs w:val="22"/>
          <w:u w:val="single"/>
          <w:lang w:eastAsia="zh-CN"/>
          <w14:textFill>
            <w14:solidFill>
              <w14:schemeClr w14:val="tx1"/>
            </w14:solidFill>
          </w14:textFill>
        </w:rPr>
        <w:t>经营业绩目标考核任务完成情况、工资总额执行情况</w:t>
      </w:r>
      <w:r>
        <w:rPr>
          <w:rFonts w:hint="default" w:ascii="Times New Roman" w:hAnsi="Times New Roman" w:cs="Times New Roman"/>
          <w:color w:val="000000" w:themeColor="text1"/>
          <w:sz w:val="24"/>
          <w14:textFill>
            <w14:solidFill>
              <w14:schemeClr w14:val="tx1"/>
            </w14:solidFill>
          </w14:textFill>
        </w:rPr>
        <w:t>进行专项审计，</w:t>
      </w:r>
      <w:r>
        <w:rPr>
          <w:rFonts w:hint="default" w:ascii="Times New Roman" w:hAnsi="Times New Roman" w:cs="Times New Roman"/>
          <w:color w:val="000000" w:themeColor="text1"/>
          <w:sz w:val="24"/>
          <w:lang w:val="en-US" w:eastAsia="zh-CN"/>
          <w14:textFill>
            <w14:solidFill>
              <w14:schemeClr w14:val="tx1"/>
            </w14:solidFill>
          </w14:textFill>
        </w:rPr>
        <w:t>并出具审计报告。</w:t>
      </w:r>
    </w:p>
    <w:p>
      <w:pPr>
        <w:spacing w:line="52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对</w:t>
      </w:r>
      <w:r>
        <w:rPr>
          <w:rFonts w:hint="default" w:ascii="Times New Roman" w:hAnsi="Times New Roman" w:cs="Times New Roman"/>
          <w:color w:val="000000" w:themeColor="text1"/>
          <w:sz w:val="24"/>
          <w:lang w:val="en-US" w:eastAsia="zh-CN"/>
          <w14:textFill>
            <w14:solidFill>
              <w14:schemeClr w14:val="tx1"/>
            </w14:solidFill>
          </w14:textFill>
        </w:rPr>
        <w:t>直属企业</w:t>
      </w:r>
      <w:r>
        <w:rPr>
          <w:rFonts w:hint="default" w:ascii="Times New Roman" w:hAnsi="Times New Roman" w:cs="Times New Roman"/>
          <w:color w:val="000000" w:themeColor="text1"/>
          <w:sz w:val="24"/>
          <w14:textFill>
            <w14:solidFill>
              <w14:schemeClr w14:val="tx1"/>
            </w14:solidFill>
          </w14:textFill>
        </w:rPr>
        <w:t>按照企业会计准则和</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u w:val="single"/>
          <w14:textFill>
            <w14:solidFill>
              <w14:schemeClr w14:val="tx1"/>
            </w14:solidFill>
          </w14:textFill>
        </w:rPr>
        <w:t xml:space="preserve">  企业  </w:t>
      </w:r>
      <w:r>
        <w:rPr>
          <w:rFonts w:hint="default" w:ascii="Times New Roman" w:hAnsi="Times New Roman" w:cs="Times New Roman"/>
          <w:color w:val="000000" w:themeColor="text1"/>
          <w:sz w:val="24"/>
          <w14:textFill>
            <w14:solidFill>
              <w14:schemeClr w14:val="tx1"/>
            </w14:solidFill>
          </w14:textFill>
        </w:rPr>
        <w:t>会计制度》编制的</w:t>
      </w:r>
      <w:r>
        <w:rPr>
          <w:rFonts w:hint="default" w:ascii="Times New Roman" w:hAnsi="Times New Roman" w:cs="Times New Roman"/>
          <w:color w:val="000000" w:themeColor="text1"/>
          <w:sz w:val="24"/>
          <w:u w:val="single"/>
          <w14:textFill>
            <w14:solidFill>
              <w14:schemeClr w14:val="tx1"/>
            </w14:solidFill>
          </w14:textFill>
        </w:rPr>
        <w:t xml:space="preserve"> 20</w:t>
      </w:r>
      <w:r>
        <w:rPr>
          <w:rFonts w:hint="default" w:ascii="Times New Roman" w:hAnsi="Times New Roman" w:cs="Times New Roman"/>
          <w:color w:val="000000" w:themeColor="text1"/>
          <w:sz w:val="24"/>
          <w:u w:val="single"/>
          <w:lang w:val="en-US" w:eastAsia="zh-CN"/>
          <w14:textFill>
            <w14:solidFill>
              <w14:schemeClr w14:val="tx1"/>
            </w14:solidFill>
          </w14:textFill>
        </w:rPr>
        <w:t>20</w:t>
      </w:r>
      <w:r>
        <w:rPr>
          <w:rFonts w:hint="default" w:ascii="Times New Roman" w:hAnsi="Times New Roman" w:cs="Times New Roman"/>
          <w:color w:val="000000" w:themeColor="text1"/>
          <w:sz w:val="24"/>
          <w14:textFill>
            <w14:solidFill>
              <w14:schemeClr w14:val="tx1"/>
            </w14:solidFill>
          </w14:textFill>
        </w:rPr>
        <w:t>年</w:t>
      </w:r>
      <w:r>
        <w:rPr>
          <w:rFonts w:hint="default" w:ascii="Times New Roman" w:hAnsi="Times New Roman" w:cs="Times New Roman"/>
          <w:color w:val="000000" w:themeColor="text1"/>
          <w:sz w:val="24"/>
          <w:u w:val="single"/>
          <w14:textFill>
            <w14:solidFill>
              <w14:schemeClr w14:val="tx1"/>
            </w14:solidFill>
          </w14:textFill>
        </w:rPr>
        <w:t xml:space="preserve">  12 </w:t>
      </w:r>
      <w:r>
        <w:rPr>
          <w:rFonts w:hint="default" w:ascii="Times New Roman" w:hAnsi="Times New Roman" w:cs="Times New Roman"/>
          <w:color w:val="000000" w:themeColor="text1"/>
          <w:sz w:val="24"/>
          <w14:textFill>
            <w14:solidFill>
              <w14:schemeClr w14:val="tx1"/>
            </w14:solidFill>
          </w14:textFill>
        </w:rPr>
        <w:t>月</w:t>
      </w:r>
      <w:r>
        <w:rPr>
          <w:rFonts w:hint="default" w:ascii="Times New Roman" w:hAnsi="Times New Roman" w:cs="Times New Roman"/>
          <w:color w:val="000000" w:themeColor="text1"/>
          <w:sz w:val="24"/>
          <w:u w:val="single"/>
          <w14:textFill>
            <w14:solidFill>
              <w14:schemeClr w14:val="tx1"/>
            </w14:solidFill>
          </w14:textFill>
        </w:rPr>
        <w:t xml:space="preserve"> 31  </w:t>
      </w:r>
      <w:r>
        <w:rPr>
          <w:rFonts w:hint="default" w:ascii="Times New Roman" w:hAnsi="Times New Roman" w:cs="Times New Roman"/>
          <w:color w:val="000000" w:themeColor="text1"/>
          <w:sz w:val="24"/>
          <w14:textFill>
            <w14:solidFill>
              <w14:schemeClr w14:val="tx1"/>
            </w14:solidFill>
          </w14:textFill>
        </w:rPr>
        <w:t>日的资产负债表，</w:t>
      </w:r>
      <w:r>
        <w:rPr>
          <w:rFonts w:hint="default" w:ascii="Times New Roman" w:hAnsi="Times New Roman" w:cs="Times New Roman"/>
          <w:color w:val="000000" w:themeColor="text1"/>
          <w:sz w:val="24"/>
          <w:u w:val="single"/>
          <w14:textFill>
            <w14:solidFill>
              <w14:schemeClr w14:val="tx1"/>
            </w14:solidFill>
          </w14:textFill>
        </w:rPr>
        <w:t xml:space="preserve">  20</w:t>
      </w:r>
      <w:r>
        <w:rPr>
          <w:rFonts w:hint="default" w:ascii="Times New Roman" w:hAnsi="Times New Roman" w:cs="Times New Roman"/>
          <w:color w:val="000000" w:themeColor="text1"/>
          <w:sz w:val="24"/>
          <w:u w:val="single"/>
          <w:lang w:val="en-US" w:eastAsia="zh-CN"/>
          <w14:textFill>
            <w14:solidFill>
              <w14:schemeClr w14:val="tx1"/>
            </w14:solidFill>
          </w14:textFill>
        </w:rPr>
        <w:t>20</w:t>
      </w:r>
      <w:r>
        <w:rPr>
          <w:rFonts w:hint="default" w:ascii="Times New Roman" w:hAnsi="Times New Roman" w:cs="Times New Roman"/>
          <w:color w:val="000000" w:themeColor="text1"/>
          <w:sz w:val="24"/>
          <w:u w:val="single"/>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年度的利润表、股东权益变动表和现金流量表以及财务报表附注（以下统称财务报表）以及财务凭证等相关资料进行审计。</w:t>
      </w:r>
    </w:p>
    <w:p>
      <w:pPr>
        <w:spacing w:line="52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通过执行审计工作，对财务报表的以下方面发表审计意见：⑴ 财务报表是否按照企业会计准则和《</w:t>
      </w:r>
      <w:r>
        <w:rPr>
          <w:rFonts w:hint="default" w:ascii="Times New Roman" w:hAnsi="Times New Roman" w:cs="Times New Roman"/>
          <w:color w:val="000000" w:themeColor="text1"/>
          <w:sz w:val="24"/>
          <w:u w:val="single"/>
          <w14:textFill>
            <w14:solidFill>
              <w14:schemeClr w14:val="tx1"/>
            </w14:solidFill>
          </w14:textFill>
        </w:rPr>
        <w:t xml:space="preserve">   企业  </w:t>
      </w:r>
      <w:r>
        <w:rPr>
          <w:rFonts w:hint="default" w:ascii="Times New Roman" w:hAnsi="Times New Roman" w:cs="Times New Roman"/>
          <w:color w:val="000000" w:themeColor="text1"/>
          <w:sz w:val="24"/>
          <w14:textFill>
            <w14:solidFill>
              <w14:schemeClr w14:val="tx1"/>
            </w14:solidFill>
          </w14:textFill>
        </w:rPr>
        <w:t>会计制度》的规定编制；⑵ 财务报表是否在所有重大方面公允反映甲方的财务状况、经营成果和现金流量；⑶ 企业财务管理存在的问题。</w:t>
      </w:r>
    </w:p>
    <w:p>
      <w:pPr>
        <w:spacing w:line="52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3、企业经营业绩完成情况。按照企业签订的《目标考核责任书》，对企业经营业绩完成情况进行专项审计。</w:t>
      </w:r>
    </w:p>
    <w:p>
      <w:pPr>
        <w:spacing w:line="52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4、工资总额执行情况。按照</w:t>
      </w:r>
      <w:r>
        <w:rPr>
          <w:rFonts w:hint="default" w:ascii="Times New Roman" w:hAnsi="Times New Roman" w:cs="Times New Roman"/>
          <w:color w:val="000000" w:themeColor="text1"/>
          <w:sz w:val="24"/>
          <w:lang w:val="en-US" w:eastAsia="zh-CN"/>
          <w14:textFill>
            <w14:solidFill>
              <w14:schemeClr w14:val="tx1"/>
            </w14:solidFill>
          </w14:textFill>
        </w:rPr>
        <w:t>兴业集团</w:t>
      </w:r>
      <w:r>
        <w:rPr>
          <w:rFonts w:hint="default" w:ascii="Times New Roman" w:hAnsi="Times New Roman" w:cs="Times New Roman"/>
          <w:color w:val="000000" w:themeColor="text1"/>
          <w:sz w:val="24"/>
          <w14:textFill>
            <w14:solidFill>
              <w14:schemeClr w14:val="tx1"/>
            </w14:solidFill>
          </w14:textFill>
        </w:rPr>
        <w:t>下达的工资总额，专项审计企业执行情况。</w:t>
      </w:r>
    </w:p>
    <w:p>
      <w:pPr>
        <w:spacing w:line="360" w:lineRule="auto"/>
        <w:ind w:firstLine="482" w:firstLineChars="200"/>
        <w:rPr>
          <w:rFonts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二、服务要求</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在实施审计工作的基础上对</w:t>
      </w:r>
      <w:r>
        <w:rPr>
          <w:rFonts w:hint="default" w:ascii="Times New Roman" w:hAnsi="Times New Roman" w:cs="Times New Roman"/>
          <w:color w:val="000000" w:themeColor="text1"/>
          <w:sz w:val="24"/>
          <w:szCs w:val="24"/>
          <w:lang w:val="en-US" w:eastAsia="zh-CN"/>
          <w14:textFill>
            <w14:solidFill>
              <w14:schemeClr w14:val="tx1"/>
            </w14:solidFill>
          </w14:textFill>
        </w:rPr>
        <w:t>服务对象</w:t>
      </w:r>
      <w:r>
        <w:rPr>
          <w:rFonts w:hint="default" w:ascii="Times New Roman" w:hAnsi="Times New Roman" w:cs="Times New Roman"/>
          <w:color w:val="000000" w:themeColor="text1"/>
          <w:sz w:val="24"/>
          <w:szCs w:val="24"/>
          <w14:textFill>
            <w14:solidFill>
              <w14:schemeClr w14:val="tx1"/>
            </w14:solidFill>
          </w14:textFill>
        </w:rPr>
        <w:t>财务报表发表审计意见。</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按照中国注册会计师审计准则（以下简称审计准则）的规定进行审计。审计准则要求注册会计师遵守职业道德规范，计划和实施审计工作，以对财务报表是否不存在重大错报获取合理保证。</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审计工作涉及实施审计程序，以获取有关财务报表金额和披露的审计证据。在进行风险评估时，</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考虑与财务报表编制相关的内部控制，以设计恰当的审计程序，但目的并非对内部控制的有效性发表意见。审计工作还包括评价管理层选用会计政策的恰当性和作出会计估计的合理性，以及评价财务报表的总体列报。</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需要合理计划和实施审计工作，以</w:t>
      </w:r>
      <w:r>
        <w:rPr>
          <w:rFonts w:hint="default" w:ascii="Times New Roman" w:hAnsi="Times New Roman" w:cs="Times New Roman"/>
          <w:color w:val="000000" w:themeColor="text1"/>
          <w:sz w:val="24"/>
          <w:szCs w:val="24"/>
          <w:lang w:val="en-US" w:eastAsia="zh-CN"/>
          <w14:textFill>
            <w14:solidFill>
              <w14:schemeClr w14:val="tx1"/>
            </w14:solidFill>
          </w14:textFill>
        </w:rPr>
        <w:t>便</w:t>
      </w:r>
      <w:r>
        <w:rPr>
          <w:rFonts w:hint="default" w:ascii="Times New Roman" w:hAnsi="Times New Roman" w:cs="Times New Roman"/>
          <w:color w:val="000000" w:themeColor="text1"/>
          <w:sz w:val="24"/>
          <w:szCs w:val="24"/>
          <w14:textFill>
            <w14:solidFill>
              <w14:schemeClr w14:val="tx1"/>
            </w14:solidFill>
          </w14:textFill>
        </w:rPr>
        <w:t>能够获取充分、适当的审计证据，为</w:t>
      </w:r>
      <w:r>
        <w:rPr>
          <w:rFonts w:hint="default" w:ascii="Times New Roman" w:hAnsi="Times New Roman" w:cs="Times New Roman"/>
          <w:color w:val="000000" w:themeColor="text1"/>
          <w:sz w:val="24"/>
          <w:szCs w:val="24"/>
          <w:lang w:val="en-US" w:eastAsia="zh-CN"/>
          <w14:textFill>
            <w14:solidFill>
              <w14:schemeClr w14:val="tx1"/>
            </w14:solidFill>
          </w14:textFill>
        </w:rPr>
        <w:t>服务对象</w:t>
      </w:r>
      <w:r>
        <w:rPr>
          <w:rFonts w:hint="default" w:ascii="Times New Roman" w:hAnsi="Times New Roman" w:cs="Times New Roman"/>
          <w:color w:val="000000" w:themeColor="text1"/>
          <w:sz w:val="24"/>
          <w:szCs w:val="24"/>
          <w14:textFill>
            <w14:solidFill>
              <w14:schemeClr w14:val="tx1"/>
            </w14:solidFill>
          </w14:textFill>
        </w:rPr>
        <w:t>财务报表是否不存在重大错报获取合理保证。</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有责任在审计报告中指明所发现的</w:t>
      </w:r>
      <w:r>
        <w:rPr>
          <w:rFonts w:hint="default" w:ascii="Times New Roman" w:hAnsi="Times New Roman" w:cs="Times New Roman"/>
          <w:color w:val="000000" w:themeColor="text1"/>
          <w:sz w:val="24"/>
          <w:szCs w:val="24"/>
          <w:lang w:val="en-US" w:eastAsia="zh-CN"/>
          <w14:textFill>
            <w14:solidFill>
              <w14:schemeClr w14:val="tx1"/>
            </w14:solidFill>
          </w14:textFill>
        </w:rPr>
        <w:t>服务对象</w:t>
      </w:r>
      <w:r>
        <w:rPr>
          <w:rFonts w:hint="default" w:ascii="Times New Roman" w:hAnsi="Times New Roman" w:cs="Times New Roman"/>
          <w:color w:val="000000" w:themeColor="text1"/>
          <w:sz w:val="24"/>
          <w:szCs w:val="24"/>
          <w14:textFill>
            <w14:solidFill>
              <w14:schemeClr w14:val="tx1"/>
            </w14:solidFill>
          </w14:textFill>
        </w:rPr>
        <w:t>在某重大方面没有遵循企业会计准则和《</w:t>
      </w:r>
      <w:r>
        <w:rPr>
          <w:rFonts w:hint="default" w:ascii="Times New Roman" w:hAnsi="Times New Roman" w:cs="Times New Roman"/>
          <w:color w:val="000000" w:themeColor="text1"/>
          <w:sz w:val="24"/>
          <w:szCs w:val="24"/>
          <w:u w:val="single"/>
          <w14:textFill>
            <w14:solidFill>
              <w14:schemeClr w14:val="tx1"/>
            </w14:solidFill>
          </w14:textFill>
        </w:rPr>
        <w:t xml:space="preserve">   企业  </w:t>
      </w:r>
      <w:r>
        <w:rPr>
          <w:rFonts w:hint="default" w:ascii="Times New Roman" w:hAnsi="Times New Roman" w:cs="Times New Roman"/>
          <w:color w:val="000000" w:themeColor="text1"/>
          <w:sz w:val="24"/>
          <w:szCs w:val="24"/>
          <w14:textFill>
            <w14:solidFill>
              <w14:schemeClr w14:val="tx1"/>
            </w14:solidFill>
          </w14:textFill>
        </w:rPr>
        <w:t>会计制度》编制财务报表且未按</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的建议进行调整的事项。</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在审计过程中，若发现</w:t>
      </w:r>
      <w:r>
        <w:rPr>
          <w:rFonts w:hint="default" w:ascii="Times New Roman" w:hAnsi="Times New Roman" w:cs="Times New Roman"/>
          <w:color w:val="000000" w:themeColor="text1"/>
          <w:sz w:val="24"/>
          <w:szCs w:val="24"/>
          <w:lang w:val="en-US" w:eastAsia="zh-CN"/>
          <w14:textFill>
            <w14:solidFill>
              <w14:schemeClr w14:val="tx1"/>
            </w14:solidFill>
          </w14:textFill>
        </w:rPr>
        <w:t>服务对象</w:t>
      </w:r>
      <w:r>
        <w:rPr>
          <w:rFonts w:hint="default" w:ascii="Times New Roman" w:hAnsi="Times New Roman" w:cs="Times New Roman"/>
          <w:color w:val="000000" w:themeColor="text1"/>
          <w:sz w:val="24"/>
          <w:szCs w:val="24"/>
          <w14:textFill>
            <w14:solidFill>
              <w14:schemeClr w14:val="tx1"/>
            </w14:solidFill>
          </w14:textFill>
        </w:rPr>
        <w:t>内部控制存在</w:t>
      </w:r>
      <w:r>
        <w:rPr>
          <w:rFonts w:hint="default" w:ascii="Times New Roman" w:hAnsi="Times New Roman" w:cs="Times New Roman"/>
          <w:color w:val="000000" w:themeColor="text1"/>
          <w:sz w:val="24"/>
          <w:szCs w:val="24"/>
          <w:lang w:val="en-US" w:eastAsia="zh-CN"/>
          <w14:textFill>
            <w14:solidFill>
              <w14:schemeClr w14:val="tx1"/>
            </w14:solidFill>
          </w14:textFill>
        </w:rPr>
        <w:t>中介机构</w:t>
      </w:r>
      <w:r>
        <w:rPr>
          <w:rFonts w:hint="default" w:ascii="Times New Roman" w:hAnsi="Times New Roman" w:cs="Times New Roman"/>
          <w:color w:val="000000" w:themeColor="text1"/>
          <w:sz w:val="24"/>
          <w:szCs w:val="24"/>
          <w14:textFill>
            <w14:solidFill>
              <w14:schemeClr w14:val="tx1"/>
            </w14:solidFill>
          </w14:textFill>
        </w:rPr>
        <w:t>认为的重要缺陷，应向</w:t>
      </w:r>
      <w:r>
        <w:rPr>
          <w:rFonts w:hint="default" w:ascii="Times New Roman" w:hAnsi="Times New Roman" w:cs="Times New Roman"/>
          <w:color w:val="000000" w:themeColor="text1"/>
          <w:sz w:val="24"/>
          <w:szCs w:val="24"/>
          <w:lang w:val="en-US" w:eastAsia="zh-CN"/>
          <w14:textFill>
            <w14:solidFill>
              <w14:schemeClr w14:val="tx1"/>
            </w14:solidFill>
          </w14:textFill>
        </w:rPr>
        <w:t>服务对象</w:t>
      </w:r>
      <w:r>
        <w:rPr>
          <w:rFonts w:hint="default" w:ascii="Times New Roman" w:hAnsi="Times New Roman" w:cs="Times New Roman"/>
          <w:color w:val="000000" w:themeColor="text1"/>
          <w:sz w:val="24"/>
          <w:szCs w:val="24"/>
          <w14:textFill>
            <w14:solidFill>
              <w14:schemeClr w14:val="tx1"/>
            </w14:solidFill>
          </w14:textFill>
        </w:rPr>
        <w:t>提交管理建议书。</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6、中介机构</w:t>
      </w:r>
      <w:r>
        <w:rPr>
          <w:rFonts w:hint="default" w:ascii="Times New Roman" w:hAnsi="Times New Roman" w:cs="Times New Roman"/>
          <w:color w:val="000000" w:themeColor="text1"/>
          <w:sz w:val="24"/>
          <w:szCs w:val="24"/>
          <w14:textFill>
            <w14:solidFill>
              <w14:schemeClr w14:val="tx1"/>
            </w14:solidFill>
          </w14:textFill>
        </w:rPr>
        <w:t>应委派5名以上、且工作年限5年以上的具有中级以上职称的财务专业技术人员进场审计。</w:t>
      </w:r>
    </w:p>
    <w:p>
      <w:pPr>
        <w:spacing w:line="560" w:lineRule="exact"/>
        <w:ind w:firstLine="464" w:firstLineChars="200"/>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pacing w:val="-4"/>
          <w:sz w:val="24"/>
          <w:szCs w:val="24"/>
          <w:lang w:val="en-US" w:eastAsia="zh-CN"/>
          <w14:textFill>
            <w14:solidFill>
              <w14:schemeClr w14:val="tx1"/>
            </w14:solidFill>
          </w14:textFill>
        </w:rPr>
        <w:t>7、</w:t>
      </w:r>
      <w:r>
        <w:rPr>
          <w:rFonts w:hint="default" w:ascii="Times New Roman" w:hAnsi="Times New Roman" w:cs="Times New Roman"/>
          <w:color w:val="000000" w:themeColor="text1"/>
          <w:spacing w:val="-4"/>
          <w:sz w:val="24"/>
          <w:szCs w:val="24"/>
          <w14:textFill>
            <w14:solidFill>
              <w14:schemeClr w14:val="tx1"/>
            </w14:solidFill>
          </w14:textFill>
        </w:rPr>
        <w:t>按照约定时间完成审计工作，出具审计报告：</w:t>
      </w:r>
      <w:r>
        <w:rPr>
          <w:rFonts w:hint="default" w:ascii="Times New Roman" w:hAnsi="Times New Roman" w:cs="Times New Roman"/>
          <w:color w:val="000000" w:themeColor="text1"/>
          <w:sz w:val="24"/>
          <w:szCs w:val="24"/>
          <w14:textFill>
            <w14:solidFill>
              <w14:schemeClr w14:val="tx1"/>
            </w14:solidFill>
          </w14:textFill>
        </w:rPr>
        <w:t>单户企业</w:t>
      </w:r>
      <w:r>
        <w:rPr>
          <w:rFonts w:hint="default" w:ascii="Times New Roman" w:hAnsi="Times New Roman" w:eastAsia="宋体" w:cs="Times New Roman"/>
          <w:color w:val="000000" w:themeColor="text1"/>
          <w:sz w:val="24"/>
          <w:szCs w:val="24"/>
          <w14:textFill>
            <w14:solidFill>
              <w14:schemeClr w14:val="tx1"/>
            </w14:solidFill>
          </w14:textFill>
        </w:rPr>
        <w:t>2020年度财务决算、经营业绩目标考核任务完成情况</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的</w:t>
      </w:r>
      <w:r>
        <w:rPr>
          <w:rFonts w:hint="default" w:ascii="Times New Roman" w:hAnsi="Times New Roman" w:eastAsia="宋体" w:cs="Times New Roman"/>
          <w:color w:val="000000" w:themeColor="text1"/>
          <w:sz w:val="24"/>
          <w:szCs w:val="24"/>
          <w14:textFill>
            <w14:solidFill>
              <w14:schemeClr w14:val="tx1"/>
            </w14:solidFill>
          </w14:textFill>
        </w:rPr>
        <w:t>审计报告和业绩考核报告</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于2021年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26日</w:t>
      </w:r>
      <w:r>
        <w:rPr>
          <w:rFonts w:hint="default" w:ascii="Times New Roman" w:hAnsi="Times New Roman" w:eastAsia="宋体" w:cs="Times New Roman"/>
          <w:color w:val="000000" w:themeColor="text1"/>
          <w:sz w:val="24"/>
          <w:szCs w:val="24"/>
          <w14:textFill>
            <w14:solidFill>
              <w14:schemeClr w14:val="tx1"/>
            </w14:solidFill>
          </w14:textFill>
        </w:rPr>
        <w:t>前完成</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审计并出具工资总</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额</w:t>
      </w:r>
      <w:r>
        <w:rPr>
          <w:rFonts w:hint="default" w:ascii="Times New Roman" w:hAnsi="Times New Roman" w:eastAsia="宋体" w:cs="Times New Roman"/>
          <w:color w:val="000000" w:themeColor="text1"/>
          <w:sz w:val="24"/>
          <w:szCs w:val="24"/>
          <w14:textFill>
            <w14:solidFill>
              <w14:schemeClr w14:val="tx1"/>
            </w14:solidFill>
          </w14:textFill>
        </w:rPr>
        <w:t>执行情况审计报告</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于2021年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21日</w:t>
      </w:r>
      <w:r>
        <w:rPr>
          <w:rFonts w:hint="default" w:ascii="Times New Roman" w:hAnsi="Times New Roman" w:eastAsia="宋体" w:cs="Times New Roman"/>
          <w:color w:val="000000" w:themeColor="text1"/>
          <w:sz w:val="24"/>
          <w:szCs w:val="24"/>
          <w14:textFill>
            <w14:solidFill>
              <w14:schemeClr w14:val="tx1"/>
            </w14:solidFill>
          </w14:textFill>
        </w:rPr>
        <w:t>前完成</w:t>
      </w:r>
      <w:r>
        <w:rPr>
          <w:rFonts w:hint="default" w:ascii="Times New Roman" w:hAnsi="Times New Roman" w:cs="Times New Roman"/>
          <w:color w:val="000000" w:themeColor="text1"/>
          <w:spacing w:val="0"/>
          <w:sz w:val="24"/>
          <w:szCs w:val="24"/>
          <w:lang w:eastAsia="zh-CN"/>
          <w14:textFill>
            <w14:solidFill>
              <w14:schemeClr w14:val="tx1"/>
            </w14:solidFill>
          </w14:textFill>
        </w:rPr>
        <w:t>。</w:t>
      </w:r>
    </w:p>
    <w:p>
      <w:pPr>
        <w:spacing w:line="560" w:lineRule="exact"/>
        <w:ind w:firstLine="480" w:firstLineChars="200"/>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w:t>
      </w:r>
      <w:r>
        <w:rPr>
          <w:rFonts w:hint="default" w:ascii="Times New Roman" w:hAnsi="Times New Roman" w:cs="Times New Roman"/>
          <w:color w:val="000000" w:themeColor="text1"/>
          <w:sz w:val="24"/>
          <w:szCs w:val="24"/>
          <w14:textFill>
            <w14:solidFill>
              <w14:schemeClr w14:val="tx1"/>
            </w14:solidFill>
          </w14:textFill>
        </w:rPr>
        <w:t>按照《中国注册会计师审计准则第1501号</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审计报告告》和《中国注册会计师审计准则第1502</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非标准审计报告》规定的格式和类型出具审计报告。</w:t>
      </w:r>
    </w:p>
    <w:p>
      <w:pPr>
        <w:spacing w:line="56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9、中介机构</w:t>
      </w:r>
      <w:r>
        <w:rPr>
          <w:rFonts w:hint="default" w:ascii="Times New Roman" w:hAnsi="Times New Roman" w:cs="Times New Roman"/>
          <w:color w:val="000000" w:themeColor="text1"/>
          <w:sz w:val="24"/>
          <w:szCs w:val="24"/>
          <w14:textFill>
            <w14:solidFill>
              <w14:schemeClr w14:val="tx1"/>
            </w14:solidFill>
          </w14:textFill>
        </w:rPr>
        <w:t>向</w:t>
      </w:r>
      <w:r>
        <w:rPr>
          <w:rFonts w:hint="default" w:ascii="Times New Roman" w:hAnsi="Times New Roman" w:cs="Times New Roman"/>
          <w:color w:val="000000" w:themeColor="text1"/>
          <w:sz w:val="24"/>
          <w:szCs w:val="24"/>
          <w:lang w:val="en-US" w:eastAsia="zh-CN"/>
          <w14:textFill>
            <w14:solidFill>
              <w14:schemeClr w14:val="tx1"/>
            </w14:solidFill>
          </w14:textFill>
        </w:rPr>
        <w:t>选聘人</w:t>
      </w:r>
      <w:r>
        <w:rPr>
          <w:rFonts w:hint="default" w:ascii="Times New Roman" w:hAnsi="Times New Roman" w:cs="Times New Roman"/>
          <w:color w:val="000000" w:themeColor="text1"/>
          <w:sz w:val="24"/>
          <w:szCs w:val="24"/>
          <w14:textFill>
            <w14:solidFill>
              <w14:schemeClr w14:val="tx1"/>
            </w14:solidFill>
          </w14:textFill>
        </w:rPr>
        <w:t>致送审计报告一式</w:t>
      </w:r>
      <w:r>
        <w:rPr>
          <w:rFonts w:hint="default" w:ascii="Times New Roman" w:hAnsi="Times New Roman" w:cs="Times New Roman"/>
          <w:color w:val="000000" w:themeColor="text1"/>
          <w:sz w:val="24"/>
          <w:szCs w:val="24"/>
          <w:u w:val="single"/>
          <w14:textFill>
            <w14:solidFill>
              <w14:schemeClr w14:val="tx1"/>
            </w14:solidFill>
          </w14:textFill>
        </w:rPr>
        <w:t xml:space="preserve">  </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u w:val="single"/>
          <w14:textFill>
            <w14:solidFill>
              <w14:schemeClr w14:val="tx1"/>
            </w14:solidFill>
          </w14:textFill>
        </w:rPr>
        <w:t xml:space="preserve">叁   </w:t>
      </w:r>
      <w:r>
        <w:rPr>
          <w:rFonts w:hint="default" w:ascii="Times New Roman" w:hAnsi="Times New Roman" w:cs="Times New Roman"/>
          <w:color w:val="000000" w:themeColor="text1"/>
          <w:sz w:val="24"/>
          <w:szCs w:val="24"/>
          <w14:textFill>
            <w14:solidFill>
              <w14:schemeClr w14:val="tx1"/>
            </w14:solidFill>
          </w14:textFill>
        </w:rPr>
        <w:t>份。</w:t>
      </w:r>
    </w:p>
    <w:p>
      <w:pPr>
        <w:spacing w:line="560" w:lineRule="exact"/>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10、中介机构</w:t>
      </w:r>
      <w:r>
        <w:rPr>
          <w:rFonts w:hint="default" w:ascii="Times New Roman" w:hAnsi="Times New Roman" w:cs="Times New Roman"/>
          <w:color w:val="000000" w:themeColor="text1"/>
          <w:sz w:val="24"/>
          <w:szCs w:val="24"/>
          <w14:textFill>
            <w14:solidFill>
              <w14:schemeClr w14:val="tx1"/>
            </w14:solidFill>
          </w14:textFill>
        </w:rPr>
        <w:t>应当对执行业务过程中知悉的</w:t>
      </w:r>
      <w:r>
        <w:rPr>
          <w:rFonts w:hint="default" w:ascii="Times New Roman" w:hAnsi="Times New Roman" w:cs="Times New Roman"/>
          <w:color w:val="000000" w:themeColor="text1"/>
          <w:sz w:val="24"/>
          <w:szCs w:val="24"/>
          <w:lang w:val="en-US" w:eastAsia="zh-CN"/>
          <w14:textFill>
            <w14:solidFill>
              <w14:schemeClr w14:val="tx1"/>
            </w14:solidFill>
          </w14:textFill>
        </w:rPr>
        <w:t>选聘人</w:t>
      </w:r>
      <w:r>
        <w:rPr>
          <w:rFonts w:hint="default" w:ascii="Times New Roman" w:hAnsi="Times New Roman" w:cs="Times New Roman"/>
          <w:color w:val="000000" w:themeColor="text1"/>
          <w:sz w:val="24"/>
          <w:szCs w:val="24"/>
          <w14:textFill>
            <w14:solidFill>
              <w14:schemeClr w14:val="tx1"/>
            </w14:solidFill>
          </w14:textFill>
        </w:rPr>
        <w:t>信息予以保密</w:t>
      </w:r>
      <w:r>
        <w:rPr>
          <w:rFonts w:hint="default" w:ascii="Times New Roman" w:hAnsi="Times New Roman" w:cs="Times New Roman"/>
          <w:color w:val="000000" w:themeColor="text1"/>
          <w:sz w:val="24"/>
          <w:szCs w:val="24"/>
          <w:lang w:eastAsia="zh-CN"/>
          <w14:textFill>
            <w14:solidFill>
              <w14:schemeClr w14:val="tx1"/>
            </w14:solidFill>
          </w14:textFill>
        </w:rPr>
        <w:t>。</w:t>
      </w:r>
    </w:p>
    <w:p>
      <w:pPr>
        <w:spacing w:line="560" w:lineRule="exact"/>
        <w:ind w:firstLine="482" w:firstLineChars="200"/>
        <w:rPr>
          <w:rFonts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三、商务要求</w:t>
      </w:r>
    </w:p>
    <w:p>
      <w:pPr>
        <w:spacing w:line="560" w:lineRule="exact"/>
        <w:ind w:firstLine="480" w:firstLineChars="200"/>
        <w:rPr>
          <w:rFonts w:ascii="Times New Roman" w:hAnsi="Times New Roman" w:cs="Times New Roman"/>
          <w:color w:val="000000" w:themeColor="text1"/>
          <w:kern w:val="44"/>
          <w:sz w:val="24"/>
          <w:szCs w:val="24"/>
          <w14:textFill>
            <w14:solidFill>
              <w14:schemeClr w14:val="tx1"/>
            </w14:solidFill>
          </w14:textFill>
        </w:rPr>
      </w:pPr>
      <w:r>
        <w:rPr>
          <w:rFonts w:hint="default" w:ascii="Times New Roman" w:hAnsi="Times New Roman" w:cs="Times New Roman"/>
          <w:color w:val="000000" w:themeColor="text1"/>
          <w:kern w:val="44"/>
          <w:sz w:val="24"/>
          <w:szCs w:val="24"/>
          <w14:textFill>
            <w14:solidFill>
              <w14:schemeClr w14:val="tx1"/>
            </w14:solidFill>
          </w14:textFill>
        </w:rPr>
        <w:t>1、</w:t>
      </w:r>
      <w:r>
        <w:rPr>
          <w:rFonts w:hint="default" w:ascii="Times New Roman" w:hAnsi="Times New Roman" w:cs="Times New Roman"/>
          <w:color w:val="000000" w:themeColor="text1"/>
          <w:sz w:val="24"/>
          <w:szCs w:val="24"/>
          <w14:textFill>
            <w14:solidFill>
              <w14:schemeClr w14:val="tx1"/>
            </w14:solidFill>
          </w14:textFill>
        </w:rPr>
        <w:t>项目地点</w:t>
      </w:r>
      <w:r>
        <w:rPr>
          <w:rFonts w:hint="default" w:ascii="Times New Roman" w:hAnsi="Times New Roman" w:cs="Times New Roman"/>
          <w:color w:val="000000" w:themeColor="text1"/>
          <w:kern w:val="44"/>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选聘人</w:t>
      </w:r>
      <w:r>
        <w:rPr>
          <w:rFonts w:hint="default" w:ascii="Times New Roman" w:hAnsi="Times New Roman" w:cs="Times New Roman"/>
          <w:color w:val="000000" w:themeColor="text1"/>
          <w:kern w:val="44"/>
          <w:sz w:val="24"/>
          <w:szCs w:val="24"/>
          <w14:textFill>
            <w14:solidFill>
              <w14:schemeClr w14:val="tx1"/>
            </w14:solidFill>
          </w14:textFill>
        </w:rPr>
        <w:t>指定地点。</w:t>
      </w:r>
    </w:p>
    <w:p>
      <w:pPr>
        <w:widowControl/>
        <w:snapToGrid w:val="0"/>
        <w:spacing w:line="560" w:lineRule="exact"/>
        <w:ind w:firstLine="480" w:firstLineChars="200"/>
        <w:jc w:val="both"/>
        <w:rPr>
          <w:rFonts w:ascii="Times New Roman" w:hAnsi="Times New Roman" w:cs="Times New Roman"/>
          <w:color w:val="000000" w:themeColor="text1"/>
          <w:kern w:val="44"/>
          <w:sz w:val="24"/>
          <w:szCs w:val="24"/>
          <w14:textFill>
            <w14:solidFill>
              <w14:schemeClr w14:val="tx1"/>
            </w14:solidFill>
          </w14:textFill>
        </w:rPr>
      </w:pPr>
      <w:r>
        <w:rPr>
          <w:rFonts w:hint="default" w:ascii="Times New Roman" w:hAnsi="Times New Roman" w:cs="Times New Roman"/>
          <w:color w:val="000000" w:themeColor="text1"/>
          <w:kern w:val="44"/>
          <w:sz w:val="24"/>
          <w:szCs w:val="24"/>
          <w14:textFill>
            <w14:solidFill>
              <w14:schemeClr w14:val="tx1"/>
            </w14:solidFill>
          </w14:textFill>
        </w:rPr>
        <w:t>2、完成时间：</w:t>
      </w:r>
      <w:r>
        <w:rPr>
          <w:rFonts w:hint="default" w:ascii="Times New Roman" w:hAnsi="Times New Roman" w:cs="Times New Roman"/>
          <w:color w:val="000000" w:themeColor="text1"/>
          <w:sz w:val="24"/>
          <w:szCs w:val="24"/>
          <w:lang w:val="en-US" w:eastAsia="zh-CN"/>
          <w14:textFill>
            <w14:solidFill>
              <w14:schemeClr w14:val="tx1"/>
            </w14:solidFill>
          </w14:textFill>
        </w:rPr>
        <w:t>选聘人</w:t>
      </w:r>
      <w:r>
        <w:rPr>
          <w:rFonts w:hint="default" w:ascii="Times New Roman" w:hAnsi="Times New Roman" w:cs="Times New Roman"/>
          <w:color w:val="000000" w:themeColor="text1"/>
          <w:kern w:val="44"/>
          <w:sz w:val="24"/>
          <w:szCs w:val="24"/>
          <w14:textFill>
            <w14:solidFill>
              <w14:schemeClr w14:val="tx1"/>
            </w14:solidFill>
          </w14:textFill>
        </w:rPr>
        <w:t>指定</w:t>
      </w:r>
      <w:r>
        <w:rPr>
          <w:rFonts w:hint="default" w:ascii="Times New Roman" w:hAnsi="Times New Roman" w:cs="Times New Roman"/>
          <w:color w:val="000000" w:themeColor="text1"/>
          <w:kern w:val="44"/>
          <w:sz w:val="24"/>
          <w:szCs w:val="24"/>
          <w:lang w:val="en-US" w:eastAsia="zh-CN"/>
          <w14:textFill>
            <w14:solidFill>
              <w14:schemeClr w14:val="tx1"/>
            </w14:solidFill>
          </w14:textFill>
        </w:rPr>
        <w:t>时间</w:t>
      </w:r>
      <w:r>
        <w:rPr>
          <w:rFonts w:hint="default" w:ascii="Times New Roman" w:hAnsi="Times New Roman" w:cs="Times New Roman"/>
          <w:color w:val="000000" w:themeColor="text1"/>
          <w:kern w:val="44"/>
          <w:sz w:val="24"/>
          <w:szCs w:val="24"/>
          <w14:textFill>
            <w14:solidFill>
              <w14:schemeClr w14:val="tx1"/>
            </w14:solidFill>
          </w14:textFill>
        </w:rPr>
        <w:t>。</w:t>
      </w:r>
    </w:p>
    <w:p>
      <w:pPr>
        <w:snapToGrid w:val="0"/>
        <w:spacing w:line="560" w:lineRule="exact"/>
        <w:ind w:firstLine="480" w:firstLineChars="200"/>
        <w:rPr>
          <w:rFonts w:ascii="Times New Roman" w:hAnsi="Times New Roman" w:cs="Times New Roman"/>
          <w:kern w:val="44"/>
          <w:sz w:val="24"/>
          <w:szCs w:val="24"/>
        </w:rPr>
      </w:pPr>
      <w:r>
        <w:rPr>
          <w:rFonts w:hint="default" w:ascii="Times New Roman" w:hAnsi="Times New Roman" w:cs="Times New Roman"/>
          <w:kern w:val="44"/>
          <w:sz w:val="24"/>
          <w:szCs w:val="24"/>
        </w:rPr>
        <w:t>3、付款方式：</w:t>
      </w:r>
    </w:p>
    <w:p>
      <w:pPr>
        <w:spacing w:line="5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①</w:t>
      </w:r>
      <w:r>
        <w:rPr>
          <w:rFonts w:hint="default" w:ascii="Times New Roman" w:hAnsi="Times New Roman" w:cs="Times New Roman"/>
          <w:sz w:val="24"/>
          <w:szCs w:val="24"/>
          <w:lang w:val="en-US" w:eastAsia="zh-CN"/>
        </w:rPr>
        <w:t>选聘人</w:t>
      </w:r>
      <w:r>
        <w:rPr>
          <w:rFonts w:hint="default" w:ascii="Times New Roman" w:hAnsi="Times New Roman" w:cs="Times New Roman"/>
          <w:sz w:val="24"/>
          <w:szCs w:val="24"/>
        </w:rPr>
        <w:t>将抽查</w:t>
      </w:r>
      <w:r>
        <w:rPr>
          <w:rFonts w:hint="default" w:ascii="Times New Roman" w:hAnsi="Times New Roman" w:cs="Times New Roman"/>
          <w:sz w:val="24"/>
          <w:szCs w:val="24"/>
          <w:lang w:val="en-US" w:eastAsia="zh-CN"/>
        </w:rPr>
        <w:t>中介机构</w:t>
      </w:r>
      <w:r>
        <w:rPr>
          <w:rFonts w:hint="default" w:ascii="Times New Roman" w:hAnsi="Times New Roman" w:cs="Times New Roman"/>
          <w:sz w:val="24"/>
          <w:szCs w:val="24"/>
        </w:rPr>
        <w:t>的审计报告，若不实，将根据审计质量酌情扣减审计费用。</w:t>
      </w:r>
    </w:p>
    <w:p>
      <w:pPr>
        <w:spacing w:line="5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②</w:t>
      </w:r>
      <w:r>
        <w:rPr>
          <w:rFonts w:hint="default" w:ascii="Times New Roman" w:hAnsi="Times New Roman" w:cs="Times New Roman"/>
          <w:sz w:val="24"/>
          <w:szCs w:val="24"/>
          <w:lang w:val="en-US" w:eastAsia="zh-CN"/>
        </w:rPr>
        <w:t>选聘人</w:t>
      </w:r>
      <w:r>
        <w:rPr>
          <w:rFonts w:hint="default" w:ascii="Times New Roman" w:hAnsi="Times New Roman" w:cs="Times New Roman"/>
          <w:sz w:val="24"/>
          <w:szCs w:val="24"/>
        </w:rPr>
        <w:t>于本</w:t>
      </w:r>
      <w:r>
        <w:rPr>
          <w:rFonts w:hint="default" w:ascii="Times New Roman" w:hAnsi="Times New Roman" w:cs="Times New Roman"/>
          <w:sz w:val="24"/>
          <w:szCs w:val="24"/>
          <w:lang w:val="en-US" w:eastAsia="zh-CN"/>
        </w:rPr>
        <w:t>协议</w:t>
      </w:r>
      <w:r>
        <w:rPr>
          <w:rFonts w:hint="default" w:ascii="Times New Roman" w:hAnsi="Times New Roman" w:cs="Times New Roman"/>
          <w:sz w:val="24"/>
          <w:szCs w:val="24"/>
        </w:rPr>
        <w:t>签署之日起</w:t>
      </w:r>
      <w:r>
        <w:rPr>
          <w:rFonts w:hint="default" w:ascii="Times New Roman" w:hAnsi="Times New Roman" w:cs="Times New Roman"/>
          <w:sz w:val="24"/>
          <w:szCs w:val="24"/>
          <w:u w:val="single"/>
        </w:rPr>
        <w:t xml:space="preserve">    /    </w:t>
      </w:r>
      <w:r>
        <w:rPr>
          <w:rFonts w:hint="default" w:ascii="Times New Roman" w:hAnsi="Times New Roman" w:cs="Times New Roman"/>
          <w:sz w:val="24"/>
          <w:szCs w:val="24"/>
        </w:rPr>
        <w:t>日内支付</w:t>
      </w:r>
      <w:r>
        <w:rPr>
          <w:rFonts w:hint="default" w:ascii="Times New Roman" w:hAnsi="Times New Roman" w:cs="Times New Roman"/>
          <w:sz w:val="24"/>
          <w:szCs w:val="24"/>
          <w:u w:val="single"/>
        </w:rPr>
        <w:t xml:space="preserve">   /   </w:t>
      </w:r>
      <w:r>
        <w:rPr>
          <w:rFonts w:hint="default" w:ascii="Times New Roman" w:hAnsi="Times New Roman" w:cs="Times New Roman"/>
          <w:sz w:val="24"/>
          <w:szCs w:val="24"/>
        </w:rPr>
        <w:t>%的审计费用，其余款项于[审计报告完成日]结清。</w:t>
      </w:r>
    </w:p>
    <w:p>
      <w:pPr>
        <w:spacing w:line="5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③如果由于无法预见的原因，致使</w:t>
      </w:r>
      <w:r>
        <w:rPr>
          <w:rFonts w:hint="default" w:ascii="Times New Roman" w:hAnsi="Times New Roman" w:cs="Times New Roman"/>
          <w:sz w:val="24"/>
          <w:szCs w:val="24"/>
          <w:lang w:val="en-US" w:eastAsia="zh-CN"/>
        </w:rPr>
        <w:t>中介机构</w:t>
      </w:r>
      <w:r>
        <w:rPr>
          <w:rFonts w:hint="default" w:ascii="Times New Roman" w:hAnsi="Times New Roman" w:cs="Times New Roman"/>
          <w:sz w:val="24"/>
          <w:szCs w:val="24"/>
        </w:rPr>
        <w:t>从事本约定书所涉及的审计服务实际时间较本约定书签订时预计的时间有明显的增加或减少时，双方应通过协商相应调整审计费用。</w:t>
      </w:r>
    </w:p>
    <w:p>
      <w:pPr>
        <w:spacing w:line="560" w:lineRule="exact"/>
        <w:ind w:firstLine="480" w:firstLineChars="200"/>
        <w:rPr>
          <w:rFonts w:ascii="Times New Roman" w:hAnsi="Times New Roman" w:cs="Times New Roman"/>
          <w:sz w:val="24"/>
          <w:szCs w:val="22"/>
        </w:rPr>
      </w:pPr>
      <w:r>
        <w:rPr>
          <w:rFonts w:hint="default" w:ascii="Times New Roman" w:hAnsi="Times New Roman" w:cs="Times New Roman"/>
          <w:sz w:val="24"/>
          <w:szCs w:val="24"/>
        </w:rPr>
        <w:t>④</w:t>
      </w:r>
      <w:r>
        <w:rPr>
          <w:rFonts w:hint="default" w:ascii="Times New Roman" w:hAnsi="Times New Roman" w:cs="Times New Roman"/>
          <w:sz w:val="24"/>
          <w:szCs w:val="24"/>
          <w:lang w:val="en-US" w:eastAsia="zh-CN"/>
        </w:rPr>
        <w:t>选聘</w:t>
      </w:r>
      <w:r>
        <w:rPr>
          <w:rFonts w:hint="default" w:ascii="Times New Roman" w:hAnsi="Times New Roman" w:cs="Times New Roman"/>
          <w:sz w:val="24"/>
          <w:szCs w:val="24"/>
        </w:rPr>
        <w:t>人支付合同款项前，成交</w:t>
      </w:r>
      <w:r>
        <w:rPr>
          <w:rFonts w:hint="default" w:ascii="Times New Roman" w:hAnsi="Times New Roman" w:cs="Times New Roman"/>
          <w:sz w:val="24"/>
          <w:szCs w:val="24"/>
          <w:lang w:val="en-US" w:eastAsia="zh-CN"/>
        </w:rPr>
        <w:t>中介机构</w:t>
      </w:r>
      <w:r>
        <w:rPr>
          <w:rFonts w:hint="default" w:ascii="Times New Roman" w:hAnsi="Times New Roman" w:cs="Times New Roman"/>
          <w:sz w:val="24"/>
          <w:szCs w:val="24"/>
        </w:rPr>
        <w:t>需提供对应的发票。</w:t>
      </w:r>
      <w:bookmarkStart w:id="7" w:name="_GoBack"/>
      <w:bookmarkEnd w:id="7"/>
    </w:p>
    <w:p>
      <w:pPr>
        <w:rPr>
          <w:rFonts w:ascii="Times New Roman" w:hAnsi="Times New Roman" w:cs="Times New Roman"/>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pStyle w:val="20"/>
        <w:rPr>
          <w:rFonts w:ascii="Times New Roman" w:hAnsi="Times New Roman" w:cs="Times New Roman"/>
          <w:color w:val="auto"/>
        </w:rPr>
      </w:pPr>
    </w:p>
    <w:p>
      <w:pPr>
        <w:rPr>
          <w:rFonts w:ascii="Times New Roman" w:hAnsi="Times New Roman" w:cs="Times New Roman"/>
        </w:rPr>
      </w:pPr>
      <w:bookmarkStart w:id="2" w:name="_Toc16175"/>
      <w:bookmarkStart w:id="3" w:name="_Toc478038709"/>
      <w:bookmarkStart w:id="4" w:name="_Toc349810622"/>
      <w:bookmarkStart w:id="5" w:name="_Toc478038736"/>
    </w:p>
    <w:p>
      <w:pPr>
        <w:rPr>
          <w:rFonts w:ascii="Times New Roman" w:hAnsi="Times New Roman" w:cs="Times New Roman"/>
        </w:rPr>
      </w:pPr>
      <w:bookmarkStart w:id="6" w:name="_Toc915"/>
    </w:p>
    <w:p>
      <w:pPr>
        <w:pStyle w:val="2"/>
        <w:numPr>
          <w:ilvl w:val="-1"/>
          <w:numId w:val="0"/>
        </w:numPr>
        <w:rPr>
          <w:rFonts w:ascii="Times New Roman" w:hAnsi="Times New Roman" w:cs="Times New Roman"/>
        </w:rPr>
      </w:pPr>
    </w:p>
    <w:p>
      <w:pPr>
        <w:rPr>
          <w:rFonts w:ascii="Times New Roman" w:hAnsi="Times New Roman" w:cs="Times New Roman"/>
        </w:rPr>
      </w:pPr>
    </w:p>
    <w:p>
      <w:pPr>
        <w:pStyle w:val="2"/>
        <w:numPr>
          <w:ilvl w:val="-1"/>
          <w:numId w:val="0"/>
        </w:num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2"/>
        <w:numPr>
          <w:ilvl w:val="3"/>
          <w:numId w:val="0"/>
        </w:numPr>
        <w:ind w:leftChars="0"/>
        <w:rPr>
          <w:rFonts w:ascii="Times New Roman" w:hAnsi="Times New Roman" w:cs="Times New Roman"/>
        </w:rPr>
      </w:pPr>
    </w:p>
    <w:p>
      <w:pPr>
        <w:pStyle w:val="2"/>
        <w:numPr>
          <w:ilvl w:val="3"/>
          <w:numId w:val="0"/>
        </w:numPr>
        <w:ind w:leftChars="0"/>
        <w:rPr>
          <w:rFonts w:ascii="Times New Roman" w:hAnsi="Times New Roman" w:cs="Times New Roman"/>
        </w:rPr>
      </w:pPr>
    </w:p>
    <w:p>
      <w:pPr>
        <w:rPr>
          <w:rFonts w:ascii="Times New Roman" w:hAnsi="Times New Roman" w:cs="Times New Roman"/>
        </w:rPr>
      </w:pPr>
    </w:p>
    <w:p>
      <w:pPr>
        <w:pStyle w:val="2"/>
        <w:numPr>
          <w:ilvl w:val="-1"/>
          <w:numId w:val="0"/>
        </w:numPr>
        <w:spacing w:before="0" w:after="0" w:line="240" w:lineRule="auto"/>
        <w:rPr>
          <w:rFonts w:ascii="Times New Roman" w:hAnsi="Times New Roman" w:cs="Times New Roman"/>
        </w:rPr>
      </w:pPr>
    </w:p>
    <w:p>
      <w:pPr>
        <w:pStyle w:val="2"/>
        <w:numPr>
          <w:ilvl w:val="-1"/>
          <w:numId w:val="0"/>
        </w:numPr>
        <w:spacing w:before="0" w:after="0" w:line="240" w:lineRule="auto"/>
        <w:rPr>
          <w:rFonts w:ascii="Times New Roman" w:hAnsi="Times New Roman" w:cs="Times New Roman"/>
        </w:rPr>
      </w:pPr>
    </w:p>
    <w:bookmarkEnd w:id="2"/>
    <w:bookmarkEnd w:id="3"/>
    <w:bookmarkEnd w:id="4"/>
    <w:bookmarkEnd w:id="5"/>
    <w:bookmarkEnd w:id="6"/>
    <w:p>
      <w:pPr>
        <w:rPr>
          <w:rFonts w:ascii="Times New Roman" w:hAnsi="Times New Roman"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1">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E0215"/>
    <w:rsid w:val="00055C18"/>
    <w:rsid w:val="000827DF"/>
    <w:rsid w:val="001E1363"/>
    <w:rsid w:val="001E3F97"/>
    <w:rsid w:val="00237207"/>
    <w:rsid w:val="00260707"/>
    <w:rsid w:val="003A6823"/>
    <w:rsid w:val="003C64B3"/>
    <w:rsid w:val="005E3F26"/>
    <w:rsid w:val="006B63D7"/>
    <w:rsid w:val="0087183C"/>
    <w:rsid w:val="008960E0"/>
    <w:rsid w:val="00925006"/>
    <w:rsid w:val="0096207C"/>
    <w:rsid w:val="009707D5"/>
    <w:rsid w:val="00AF706D"/>
    <w:rsid w:val="00D11CF8"/>
    <w:rsid w:val="00DF0AC0"/>
    <w:rsid w:val="00F000E0"/>
    <w:rsid w:val="015770BD"/>
    <w:rsid w:val="01715DB2"/>
    <w:rsid w:val="01C60342"/>
    <w:rsid w:val="025F7884"/>
    <w:rsid w:val="037D1C52"/>
    <w:rsid w:val="03861C39"/>
    <w:rsid w:val="04157907"/>
    <w:rsid w:val="043A746C"/>
    <w:rsid w:val="043C0E2E"/>
    <w:rsid w:val="04407298"/>
    <w:rsid w:val="04AB7A07"/>
    <w:rsid w:val="04F22B53"/>
    <w:rsid w:val="050D29B3"/>
    <w:rsid w:val="058E482C"/>
    <w:rsid w:val="05F17BCC"/>
    <w:rsid w:val="06AF37BF"/>
    <w:rsid w:val="07403615"/>
    <w:rsid w:val="07AB1890"/>
    <w:rsid w:val="07D414E7"/>
    <w:rsid w:val="08CA4F90"/>
    <w:rsid w:val="08CC0832"/>
    <w:rsid w:val="09BE7755"/>
    <w:rsid w:val="09E2498A"/>
    <w:rsid w:val="0A211313"/>
    <w:rsid w:val="0A7D24BB"/>
    <w:rsid w:val="0B8B2049"/>
    <w:rsid w:val="0BB82E42"/>
    <w:rsid w:val="0CC27D55"/>
    <w:rsid w:val="0D2E0DE4"/>
    <w:rsid w:val="0F060646"/>
    <w:rsid w:val="0FE96F4F"/>
    <w:rsid w:val="10337D06"/>
    <w:rsid w:val="10AB0F06"/>
    <w:rsid w:val="10AD7858"/>
    <w:rsid w:val="11F511F2"/>
    <w:rsid w:val="121C75E4"/>
    <w:rsid w:val="13020CF4"/>
    <w:rsid w:val="139B237E"/>
    <w:rsid w:val="14EE00F8"/>
    <w:rsid w:val="15F937D3"/>
    <w:rsid w:val="161D592F"/>
    <w:rsid w:val="163A2C95"/>
    <w:rsid w:val="168A05F6"/>
    <w:rsid w:val="171602ED"/>
    <w:rsid w:val="177A18E8"/>
    <w:rsid w:val="179821B0"/>
    <w:rsid w:val="17F574A4"/>
    <w:rsid w:val="185241C8"/>
    <w:rsid w:val="197B19F7"/>
    <w:rsid w:val="1B5E6EF8"/>
    <w:rsid w:val="1B8C7266"/>
    <w:rsid w:val="1C2106DF"/>
    <w:rsid w:val="1C607D50"/>
    <w:rsid w:val="1C8D23B9"/>
    <w:rsid w:val="1D5F2F4F"/>
    <w:rsid w:val="1D7C4980"/>
    <w:rsid w:val="1DB9549C"/>
    <w:rsid w:val="1ECA5CB9"/>
    <w:rsid w:val="1F325AF6"/>
    <w:rsid w:val="1F333675"/>
    <w:rsid w:val="1F8A62F3"/>
    <w:rsid w:val="202F53D4"/>
    <w:rsid w:val="211A0493"/>
    <w:rsid w:val="214E4AE7"/>
    <w:rsid w:val="21E16FBE"/>
    <w:rsid w:val="220358D9"/>
    <w:rsid w:val="22090FA5"/>
    <w:rsid w:val="22AB0A71"/>
    <w:rsid w:val="23130C92"/>
    <w:rsid w:val="23B61063"/>
    <w:rsid w:val="23E6545D"/>
    <w:rsid w:val="24F525C9"/>
    <w:rsid w:val="26611C44"/>
    <w:rsid w:val="26663262"/>
    <w:rsid w:val="268B3E3B"/>
    <w:rsid w:val="276229C0"/>
    <w:rsid w:val="27F05A64"/>
    <w:rsid w:val="293858E9"/>
    <w:rsid w:val="299D356C"/>
    <w:rsid w:val="29F50D70"/>
    <w:rsid w:val="2A272666"/>
    <w:rsid w:val="2AAD16D6"/>
    <w:rsid w:val="2AB06557"/>
    <w:rsid w:val="2B0F60F0"/>
    <w:rsid w:val="2B682722"/>
    <w:rsid w:val="2BB173B0"/>
    <w:rsid w:val="2BC66F35"/>
    <w:rsid w:val="2C4001FC"/>
    <w:rsid w:val="2D2B4CC9"/>
    <w:rsid w:val="2DB159FD"/>
    <w:rsid w:val="2E1F7A2C"/>
    <w:rsid w:val="2E8A7171"/>
    <w:rsid w:val="2EB17EC2"/>
    <w:rsid w:val="2EEC4014"/>
    <w:rsid w:val="2F21438A"/>
    <w:rsid w:val="2F8C4DF7"/>
    <w:rsid w:val="2F920EFB"/>
    <w:rsid w:val="2FE02E0D"/>
    <w:rsid w:val="300D4024"/>
    <w:rsid w:val="302A032E"/>
    <w:rsid w:val="30476C3A"/>
    <w:rsid w:val="304E0215"/>
    <w:rsid w:val="30B65263"/>
    <w:rsid w:val="310079E1"/>
    <w:rsid w:val="31013DEE"/>
    <w:rsid w:val="31B1590D"/>
    <w:rsid w:val="31CA5129"/>
    <w:rsid w:val="3304390A"/>
    <w:rsid w:val="33227A1A"/>
    <w:rsid w:val="33935DCE"/>
    <w:rsid w:val="33C30133"/>
    <w:rsid w:val="346756E1"/>
    <w:rsid w:val="3485312B"/>
    <w:rsid w:val="35802F92"/>
    <w:rsid w:val="38873943"/>
    <w:rsid w:val="388C213D"/>
    <w:rsid w:val="38DE039B"/>
    <w:rsid w:val="3936725E"/>
    <w:rsid w:val="399B6D65"/>
    <w:rsid w:val="39F54A2D"/>
    <w:rsid w:val="3A4723CA"/>
    <w:rsid w:val="3A4C04E9"/>
    <w:rsid w:val="3A8A13A6"/>
    <w:rsid w:val="3B56223C"/>
    <w:rsid w:val="3B7D3F47"/>
    <w:rsid w:val="3BFA40A4"/>
    <w:rsid w:val="3C537BC1"/>
    <w:rsid w:val="3D750BFC"/>
    <w:rsid w:val="3D7E6706"/>
    <w:rsid w:val="3D8E4B83"/>
    <w:rsid w:val="3DEC361C"/>
    <w:rsid w:val="3E706567"/>
    <w:rsid w:val="3F1B7940"/>
    <w:rsid w:val="3F210CA2"/>
    <w:rsid w:val="3F3444EE"/>
    <w:rsid w:val="3F352E48"/>
    <w:rsid w:val="3FE20ED4"/>
    <w:rsid w:val="40453A15"/>
    <w:rsid w:val="404C0752"/>
    <w:rsid w:val="411330A2"/>
    <w:rsid w:val="411A4A24"/>
    <w:rsid w:val="42975F8A"/>
    <w:rsid w:val="42B8061D"/>
    <w:rsid w:val="43A834BB"/>
    <w:rsid w:val="448605B3"/>
    <w:rsid w:val="450A4557"/>
    <w:rsid w:val="45C76189"/>
    <w:rsid w:val="461B4CD9"/>
    <w:rsid w:val="46282E18"/>
    <w:rsid w:val="46C0381B"/>
    <w:rsid w:val="46E2550A"/>
    <w:rsid w:val="47C97CDE"/>
    <w:rsid w:val="48D95DCE"/>
    <w:rsid w:val="4B473C96"/>
    <w:rsid w:val="4C5F20B6"/>
    <w:rsid w:val="4CEE7F7A"/>
    <w:rsid w:val="4D1759D6"/>
    <w:rsid w:val="4D264427"/>
    <w:rsid w:val="4FCC274A"/>
    <w:rsid w:val="510012B5"/>
    <w:rsid w:val="51763F53"/>
    <w:rsid w:val="519326BD"/>
    <w:rsid w:val="5214212F"/>
    <w:rsid w:val="522D10E9"/>
    <w:rsid w:val="523E2616"/>
    <w:rsid w:val="5265498F"/>
    <w:rsid w:val="52D96A91"/>
    <w:rsid w:val="52DB3B8F"/>
    <w:rsid w:val="553D69DC"/>
    <w:rsid w:val="559546EE"/>
    <w:rsid w:val="56222A3C"/>
    <w:rsid w:val="56580B43"/>
    <w:rsid w:val="571176F1"/>
    <w:rsid w:val="571A4554"/>
    <w:rsid w:val="58B80490"/>
    <w:rsid w:val="58FF3E0C"/>
    <w:rsid w:val="5A0C3093"/>
    <w:rsid w:val="5A7D7048"/>
    <w:rsid w:val="5AB442BA"/>
    <w:rsid w:val="5C9C2198"/>
    <w:rsid w:val="5EA35C31"/>
    <w:rsid w:val="5F0217BB"/>
    <w:rsid w:val="5F9762C4"/>
    <w:rsid w:val="5FE141A9"/>
    <w:rsid w:val="60F65C3A"/>
    <w:rsid w:val="61231C50"/>
    <w:rsid w:val="6197323A"/>
    <w:rsid w:val="61FF731F"/>
    <w:rsid w:val="625D63D2"/>
    <w:rsid w:val="62A675AF"/>
    <w:rsid w:val="636F6509"/>
    <w:rsid w:val="637C1E6D"/>
    <w:rsid w:val="63BD6D63"/>
    <w:rsid w:val="64127DD8"/>
    <w:rsid w:val="64481782"/>
    <w:rsid w:val="64BB6FE4"/>
    <w:rsid w:val="658072A6"/>
    <w:rsid w:val="665416FC"/>
    <w:rsid w:val="66644FFD"/>
    <w:rsid w:val="66746171"/>
    <w:rsid w:val="667950BB"/>
    <w:rsid w:val="669A0E61"/>
    <w:rsid w:val="66D71933"/>
    <w:rsid w:val="675D1C50"/>
    <w:rsid w:val="67887386"/>
    <w:rsid w:val="694C1048"/>
    <w:rsid w:val="69D05566"/>
    <w:rsid w:val="6A480374"/>
    <w:rsid w:val="6A9633D5"/>
    <w:rsid w:val="6B7C6C6C"/>
    <w:rsid w:val="6B952AF9"/>
    <w:rsid w:val="6BE71CBE"/>
    <w:rsid w:val="6C6E487B"/>
    <w:rsid w:val="6C9972A8"/>
    <w:rsid w:val="6CB12D96"/>
    <w:rsid w:val="6CE75346"/>
    <w:rsid w:val="6D535020"/>
    <w:rsid w:val="6D927A63"/>
    <w:rsid w:val="6DB846A3"/>
    <w:rsid w:val="6E0E5687"/>
    <w:rsid w:val="6E3C5C95"/>
    <w:rsid w:val="6E8D452C"/>
    <w:rsid w:val="717F06B3"/>
    <w:rsid w:val="718172EB"/>
    <w:rsid w:val="71B902CE"/>
    <w:rsid w:val="721C0ED4"/>
    <w:rsid w:val="72DE6AD8"/>
    <w:rsid w:val="72E30C33"/>
    <w:rsid w:val="745B6EB7"/>
    <w:rsid w:val="748F781E"/>
    <w:rsid w:val="749251F1"/>
    <w:rsid w:val="74D448E8"/>
    <w:rsid w:val="753051CC"/>
    <w:rsid w:val="75655067"/>
    <w:rsid w:val="75693E48"/>
    <w:rsid w:val="76C93506"/>
    <w:rsid w:val="76F92390"/>
    <w:rsid w:val="77FB476C"/>
    <w:rsid w:val="78272054"/>
    <w:rsid w:val="783802B5"/>
    <w:rsid w:val="78764CF1"/>
    <w:rsid w:val="7925229D"/>
    <w:rsid w:val="7A324E00"/>
    <w:rsid w:val="7CCC681B"/>
    <w:rsid w:val="7D9E346E"/>
    <w:rsid w:val="7E200367"/>
    <w:rsid w:val="7E59114D"/>
    <w:rsid w:val="7E7B00B9"/>
    <w:rsid w:val="7E7D6E8F"/>
    <w:rsid w:val="7EB8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40" w:after="240" w:line="520" w:lineRule="atLeast"/>
      <w:outlineLvl w:val="1"/>
    </w:pPr>
    <w:rPr>
      <w:rFonts w:ascii="Arial" w:hAnsi="Arial" w:eastAsia="黑体"/>
      <w:sz w:val="30"/>
      <w:szCs w:val="30"/>
    </w:rPr>
  </w:style>
  <w:style w:type="paragraph" w:styleId="2">
    <w:name w:val="heading 4"/>
    <w:basedOn w:val="1"/>
    <w:next w:val="1"/>
    <w:qFormat/>
    <w:uiPriority w:val="0"/>
    <w:pPr>
      <w:keepNext/>
      <w:keepLines/>
      <w:numPr>
        <w:ilvl w:val="3"/>
        <w:numId w:val="2"/>
      </w:numPr>
      <w:tabs>
        <w:tab w:val="left" w:pos="1080"/>
      </w:tabs>
      <w:adjustRightInd w:val="0"/>
      <w:spacing w:before="120" w:after="120" w:line="360" w:lineRule="auto"/>
      <w:ind w:left="0" w:firstLine="0"/>
      <w:outlineLvl w:val="3"/>
    </w:pPr>
    <w:rPr>
      <w:rFonts w:ascii="仿宋_GB2312" w:hAnsi="宋体" w:eastAsia="仿宋_GB2312"/>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sz w:val="20"/>
    </w:rPr>
  </w:style>
  <w:style w:type="paragraph" w:styleId="5">
    <w:name w:val="Body Text Indent"/>
    <w:basedOn w:val="1"/>
    <w:qFormat/>
    <w:uiPriority w:val="0"/>
    <w:pPr>
      <w:ind w:firstLine="630"/>
    </w:pPr>
    <w:rPr>
      <w:sz w:val="32"/>
    </w:r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jc w:val="left"/>
    </w:pPr>
    <w:rPr>
      <w:b/>
      <w:bCs/>
      <w:caps/>
      <w:sz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标题 5（有编号）（绿盟科技）"/>
    <w:basedOn w:val="1"/>
    <w:next w:val="19"/>
    <w:qFormat/>
    <w:uiPriority w:val="99"/>
    <w:pPr>
      <w:keepNext/>
      <w:keepLines/>
      <w:numPr>
        <w:ilvl w:val="4"/>
        <w:numId w:val="3"/>
      </w:numPr>
      <w:spacing w:before="280" w:after="156" w:line="377" w:lineRule="auto"/>
      <w:outlineLvl w:val="4"/>
    </w:pPr>
    <w:rPr>
      <w:rFonts w:ascii="Arial" w:hAnsi="Arial" w:eastAsia="黑体" w:cs="Arial"/>
      <w:b/>
      <w:bCs/>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列出段落1"/>
    <w:basedOn w:val="1"/>
    <w:qFormat/>
    <w:uiPriority w:val="0"/>
    <w:pPr>
      <w:ind w:firstLine="420" w:firstLineChars="200"/>
    </w:pPr>
  </w:style>
  <w:style w:type="character" w:customStyle="1" w:styleId="25">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MS</Company>
  <Pages>15</Pages>
  <Words>708</Words>
  <Characters>4041</Characters>
  <Lines>33</Lines>
  <Paragraphs>9</Paragraphs>
  <TotalTime>137</TotalTime>
  <ScaleCrop>false</ScaleCrop>
  <LinksUpToDate>false</LinksUpToDate>
  <CharactersWithSpaces>4740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2018-05-09T10:17:00Z</dcterms:created>
  <dc:creator>123</dc:creator>
  <cp:lastModifiedBy>lenovo</cp:lastModifiedBy>
  <cp:lastPrinted>2021-01-08T02:31:00Z</cp:lastPrinted>
  <dcterms:modified xsi:type="dcterms:W3CDTF">2021-01-08T09:59:51Z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